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708"/>
        <w:spacing w:before="182" w:line="219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1"/>
        </w:rPr>
        <w:t>考</w:t>
      </w:r>
      <w:r>
        <w:rPr>
          <w:rFonts w:ascii="SimHei" w:hAnsi="SimHei" w:eastAsia="SimHei" w:cs="SimHei"/>
          <w:sz w:val="48"/>
          <w:szCs w:val="48"/>
          <w:spacing w:val="1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1"/>
        </w:rPr>
        <w:t>场</w:t>
      </w:r>
      <w:r>
        <w:rPr>
          <w:rFonts w:ascii="SimHei" w:hAnsi="SimHei" w:eastAsia="SimHei" w:cs="SimHei"/>
          <w:sz w:val="48"/>
          <w:szCs w:val="48"/>
          <w:spacing w:val="1"/>
        </w:rPr>
        <w:t xml:space="preserve"> </w:t>
      </w:r>
      <w:r>
        <w:rPr>
          <w:rFonts w:ascii="SimHei" w:hAnsi="SimHei" w:eastAsia="SimHei" w:cs="SimHei"/>
          <w:sz w:val="48"/>
          <w:szCs w:val="48"/>
        </w:rPr>
        <w:t>记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8"/>
          <w:szCs w:val="48"/>
        </w:rPr>
        <w:t>录</w:t>
      </w:r>
    </w:p>
    <w:p>
      <w:pPr>
        <w:rPr/>
      </w:pPr>
      <w:r/>
    </w:p>
    <w:p>
      <w:pPr>
        <w:rPr/>
      </w:pPr>
      <w:r/>
    </w:p>
    <w:p>
      <w:pPr>
        <w:spacing w:line="126" w:lineRule="exact"/>
        <w:rPr/>
      </w:pPr>
      <w:r/>
    </w:p>
    <w:tbl>
      <w:tblPr>
        <w:tblStyle w:val="2"/>
        <w:tblW w:w="950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3"/>
        <w:gridCol w:w="470"/>
        <w:gridCol w:w="648"/>
        <w:gridCol w:w="530"/>
        <w:gridCol w:w="55"/>
        <w:gridCol w:w="276"/>
        <w:gridCol w:w="212"/>
        <w:gridCol w:w="646"/>
        <w:gridCol w:w="253"/>
        <w:gridCol w:w="731"/>
        <w:gridCol w:w="566"/>
        <w:gridCol w:w="852"/>
        <w:gridCol w:w="146"/>
        <w:gridCol w:w="559"/>
        <w:gridCol w:w="185"/>
        <w:gridCol w:w="290"/>
        <w:gridCol w:w="173"/>
        <w:gridCol w:w="1006"/>
        <w:gridCol w:w="1194"/>
      </w:tblGrid>
      <w:tr>
        <w:trPr>
          <w:trHeight w:val="506" w:hRule="atLeast"/>
        </w:trPr>
        <w:tc>
          <w:tcPr>
            <w:tcW w:w="713" w:type="dxa"/>
            <w:vAlign w:val="top"/>
          </w:tcPr>
          <w:p>
            <w:pPr>
              <w:ind w:left="145"/>
              <w:spacing w:before="129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9"/>
              </w:rPr>
              <w:t>时</w:t>
            </w: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间</w:t>
            </w:r>
          </w:p>
        </w:tc>
        <w:tc>
          <w:tcPr>
            <w:tcW w:w="111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1" w:type="dxa"/>
            <w:vAlign w:val="top"/>
            <w:gridSpan w:val="3"/>
          </w:tcPr>
          <w:p>
            <w:pPr>
              <w:ind w:left="202"/>
              <w:spacing w:before="129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地</w:t>
            </w: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点</w:t>
            </w:r>
          </w:p>
        </w:tc>
        <w:tc>
          <w:tcPr>
            <w:tcW w:w="111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1" w:type="dxa"/>
            <w:vAlign w:val="top"/>
          </w:tcPr>
          <w:p>
            <w:pPr>
              <w:ind w:left="136"/>
              <w:spacing w:before="129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班</w:t>
            </w: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级</w:t>
            </w:r>
          </w:p>
        </w:tc>
        <w:tc>
          <w:tcPr>
            <w:tcW w:w="141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  <w:gridSpan w:val="2"/>
          </w:tcPr>
          <w:p>
            <w:pPr>
              <w:ind w:left="123"/>
              <w:spacing w:before="12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科</w:t>
            </w: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目</w:t>
            </w:r>
          </w:p>
        </w:tc>
        <w:tc>
          <w:tcPr>
            <w:tcW w:w="28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183" w:type="dxa"/>
            <w:vAlign w:val="top"/>
            <w:gridSpan w:val="2"/>
          </w:tcPr>
          <w:p>
            <w:pPr>
              <w:ind w:left="123"/>
              <w:spacing w:before="15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应考人数</w:t>
            </w:r>
          </w:p>
        </w:tc>
        <w:tc>
          <w:tcPr>
            <w:tcW w:w="11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  <w:gridSpan w:val="4"/>
          </w:tcPr>
          <w:p>
            <w:pPr>
              <w:ind w:left="127"/>
              <w:spacing w:before="15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实考人数</w:t>
            </w:r>
          </w:p>
        </w:tc>
        <w:tc>
          <w:tcPr>
            <w:tcW w:w="98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8" w:type="dxa"/>
            <w:vAlign w:val="top"/>
            <w:gridSpan w:val="2"/>
          </w:tcPr>
          <w:p>
            <w:pPr>
              <w:ind w:left="240"/>
              <w:spacing w:before="15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缺</w:t>
            </w: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考</w:t>
            </w: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人数</w:t>
            </w:r>
          </w:p>
        </w:tc>
        <w:tc>
          <w:tcPr>
            <w:tcW w:w="118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ind w:left="125"/>
              <w:spacing w:before="151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违</w:t>
            </w: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规人数</w:t>
            </w:r>
          </w:p>
        </w:tc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831" w:type="dxa"/>
            <w:vAlign w:val="top"/>
            <w:gridSpan w:val="3"/>
          </w:tcPr>
          <w:p>
            <w:pPr>
              <w:ind w:left="332"/>
              <w:spacing w:before="156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实</w:t>
            </w: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发试卷数</w:t>
            </w:r>
          </w:p>
        </w:tc>
        <w:tc>
          <w:tcPr>
            <w:tcW w:w="2703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8" w:type="dxa"/>
            <w:vAlign w:val="top"/>
            <w:gridSpan w:val="5"/>
          </w:tcPr>
          <w:p>
            <w:pPr>
              <w:ind w:left="579"/>
              <w:spacing w:before="156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收</w:t>
            </w: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回试卷数</w:t>
            </w:r>
          </w:p>
        </w:tc>
        <w:tc>
          <w:tcPr>
            <w:tcW w:w="266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58" w:hRule="atLeast"/>
        </w:trPr>
        <w:tc>
          <w:tcPr>
            <w:tcW w:w="1831" w:type="dxa"/>
            <w:vAlign w:val="top"/>
            <w:gridSpan w:val="3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334"/>
              <w:spacing w:before="7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监</w:t>
            </w: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考</w:t>
            </w: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员签字</w:t>
            </w:r>
          </w:p>
        </w:tc>
        <w:tc>
          <w:tcPr>
            <w:tcW w:w="7674" w:type="dxa"/>
            <w:vAlign w:val="top"/>
            <w:gridSpan w:val="1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4" w:hRule="atLeast"/>
        </w:trPr>
        <w:tc>
          <w:tcPr>
            <w:tcW w:w="713" w:type="dxa"/>
            <w:vAlign w:val="top"/>
            <w:vMerge w:val="restart"/>
            <w:textDirection w:val="tbRlV"/>
            <w:tcBorders>
              <w:bottom w:val="none" w:color="000000" w:sz="2" w:space="0"/>
            </w:tcBorders>
          </w:tcPr>
          <w:p>
            <w:pPr>
              <w:ind w:left="207"/>
              <w:spacing w:before="235" w:line="203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缺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考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考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生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情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1"/>
              </w:rPr>
              <w:t>况</w:t>
            </w:r>
          </w:p>
        </w:tc>
        <w:tc>
          <w:tcPr>
            <w:tcW w:w="2191" w:type="dxa"/>
            <w:vAlign w:val="top"/>
            <w:gridSpan w:val="6"/>
          </w:tcPr>
          <w:p>
            <w:pPr>
              <w:ind w:left="878"/>
              <w:spacing w:before="151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学</w:t>
            </w: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号</w:t>
            </w:r>
          </w:p>
        </w:tc>
        <w:tc>
          <w:tcPr>
            <w:tcW w:w="2196" w:type="dxa"/>
            <w:vAlign w:val="top"/>
            <w:gridSpan w:val="4"/>
          </w:tcPr>
          <w:p>
            <w:pPr>
              <w:ind w:left="871"/>
              <w:spacing w:before="152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姓名</w:t>
            </w:r>
          </w:p>
        </w:tc>
        <w:tc>
          <w:tcPr>
            <w:tcW w:w="2205" w:type="dxa"/>
            <w:vAlign w:val="top"/>
            <w:gridSpan w:val="6"/>
          </w:tcPr>
          <w:p>
            <w:pPr>
              <w:ind w:left="886"/>
              <w:spacing w:before="151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学</w:t>
            </w: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号</w:t>
            </w:r>
          </w:p>
        </w:tc>
        <w:tc>
          <w:tcPr>
            <w:tcW w:w="2200" w:type="dxa"/>
            <w:vAlign w:val="top"/>
            <w:gridSpan w:val="2"/>
          </w:tcPr>
          <w:p>
            <w:pPr>
              <w:ind w:left="872"/>
              <w:spacing w:before="152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姓名</w:t>
            </w:r>
          </w:p>
        </w:tc>
      </w:tr>
      <w:tr>
        <w:trPr>
          <w:trHeight w:val="552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5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5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1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5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7" w:hRule="atLeast"/>
        </w:trPr>
        <w:tc>
          <w:tcPr>
            <w:tcW w:w="713" w:type="dxa"/>
            <w:vAlign w:val="top"/>
            <w:vMerge w:val="restart"/>
            <w:textDirection w:val="tbRlV"/>
            <w:tcBorders>
              <w:bottom w:val="none" w:color="000000" w:sz="2" w:space="0"/>
            </w:tcBorders>
          </w:tcPr>
          <w:p>
            <w:pPr>
              <w:ind w:left="724"/>
              <w:spacing w:before="234" w:line="204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4"/>
              </w:rPr>
              <w:t>违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规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考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生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情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记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录</w:t>
            </w:r>
          </w:p>
        </w:tc>
        <w:tc>
          <w:tcPr>
            <w:tcW w:w="1703" w:type="dxa"/>
            <w:vAlign w:val="top"/>
            <w:gridSpan w:val="4"/>
          </w:tcPr>
          <w:p>
            <w:pPr>
              <w:ind w:left="633"/>
              <w:spacing w:before="154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学</w:t>
            </w: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号</w:t>
            </w:r>
          </w:p>
        </w:tc>
        <w:tc>
          <w:tcPr>
            <w:tcW w:w="1134" w:type="dxa"/>
            <w:vAlign w:val="top"/>
            <w:gridSpan w:val="3"/>
          </w:tcPr>
          <w:p>
            <w:pPr>
              <w:ind w:left="338"/>
              <w:spacing w:before="155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姓名</w:t>
            </w:r>
          </w:p>
        </w:tc>
        <w:tc>
          <w:tcPr>
            <w:tcW w:w="2548" w:type="dxa"/>
            <w:vAlign w:val="top"/>
            <w:gridSpan w:val="5"/>
          </w:tcPr>
          <w:p>
            <w:pPr>
              <w:ind w:left="567"/>
              <w:spacing w:before="154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违</w:t>
            </w: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规</w:t>
            </w: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违纪行为</w:t>
            </w:r>
          </w:p>
        </w:tc>
        <w:tc>
          <w:tcPr>
            <w:tcW w:w="1207" w:type="dxa"/>
            <w:vAlign w:val="top"/>
            <w:gridSpan w:val="4"/>
          </w:tcPr>
          <w:p>
            <w:pPr>
              <w:ind w:left="138"/>
              <w:spacing w:before="155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考</w:t>
            </w: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生签名</w:t>
            </w:r>
          </w:p>
        </w:tc>
        <w:tc>
          <w:tcPr>
            <w:tcW w:w="2200" w:type="dxa"/>
            <w:vAlign w:val="top"/>
            <w:gridSpan w:val="2"/>
          </w:tcPr>
          <w:p>
            <w:pPr>
              <w:ind w:left="511"/>
              <w:spacing w:before="154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教</w:t>
            </w: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务</w:t>
            </w: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处意见</w:t>
            </w:r>
          </w:p>
        </w:tc>
      </w:tr>
      <w:tr>
        <w:trPr>
          <w:trHeight w:val="427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  <w:vMerge w:val="restart"/>
            <w:tcBorders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7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3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7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0" w:type="dxa"/>
            <w:vAlign w:val="top"/>
            <w:gridSpan w:val="2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82" w:hRule="atLeast"/>
        </w:trPr>
        <w:tc>
          <w:tcPr>
            <w:tcW w:w="713" w:type="dxa"/>
            <w:vAlign w:val="top"/>
            <w:textDirection w:val="tbRlV"/>
          </w:tcPr>
          <w:p>
            <w:pPr>
              <w:ind w:left="350"/>
              <w:spacing w:before="235" w:line="20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10"/>
              </w:rPr>
              <w:t>注</w:t>
            </w:r>
            <w:r>
              <w:rPr>
                <w:rFonts w:ascii="FangSong" w:hAnsi="FangSong" w:eastAsia="FangSong" w:cs="FangSong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5"/>
              </w:rPr>
              <w:t xml:space="preserve">  </w:t>
            </w:r>
            <w:r>
              <w:rPr>
                <w:rFonts w:ascii="FangSong" w:hAnsi="FangSong" w:eastAsia="FangSong" w:cs="FangSong"/>
                <w:sz w:val="24"/>
                <w:szCs w:val="24"/>
                <w:spacing w:val="5"/>
              </w:rPr>
              <w:t>意</w:t>
            </w:r>
            <w:r>
              <w:rPr>
                <w:rFonts w:ascii="FangSong" w:hAnsi="FangSong" w:eastAsia="FangSong" w:cs="FangSong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FangSong" w:hAnsi="FangSong" w:eastAsia="FangSong" w:cs="FangSong"/>
                <w:sz w:val="24"/>
                <w:szCs w:val="24"/>
                <w:spacing w:val="5"/>
              </w:rPr>
              <w:t>事</w:t>
            </w:r>
            <w:r>
              <w:rPr>
                <w:rFonts w:ascii="FangSong" w:hAnsi="FangSong" w:eastAsia="FangSong" w:cs="FangSong"/>
                <w:sz w:val="24"/>
                <w:szCs w:val="24"/>
                <w:spacing w:val="5"/>
              </w:rPr>
              <w:t xml:space="preserve">   </w:t>
            </w:r>
            <w:r>
              <w:rPr>
                <w:rFonts w:ascii="FangSong" w:hAnsi="FangSong" w:eastAsia="FangSong" w:cs="FangSong"/>
                <w:sz w:val="24"/>
                <w:szCs w:val="24"/>
                <w:spacing w:val="5"/>
              </w:rPr>
              <w:t>项</w:t>
            </w:r>
          </w:p>
        </w:tc>
        <w:tc>
          <w:tcPr>
            <w:tcW w:w="8792" w:type="dxa"/>
            <w:vAlign w:val="top"/>
            <w:gridSpan w:val="18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485" w:right="126" w:hanging="359"/>
              <w:spacing w:before="68" w:line="247" w:lineRule="auto"/>
              <w:rPr>
                <w:rFonts w:ascii="FangSong" w:hAnsi="FangSong" w:eastAsia="FangSong" w:cs="FangSong"/>
                <w:sz w:val="21"/>
                <w:szCs w:val="21"/>
              </w:rPr>
            </w:pP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>1.</w:t>
            </w: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>考场记录一式两份，考试结束，监考教师将考场记录一份交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>送试卷老师，另一份交学院教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13"/>
              </w:rPr>
              <w:t>学</w:t>
            </w:r>
            <w:r>
              <w:rPr>
                <w:rFonts w:ascii="FangSong" w:hAnsi="FangSong" w:eastAsia="FangSong" w:cs="FangSong"/>
                <w:sz w:val="21"/>
                <w:szCs w:val="21"/>
                <w:spacing w:val="-10"/>
              </w:rPr>
              <w:t>科。</w:t>
            </w:r>
          </w:p>
          <w:p>
            <w:pPr>
              <w:ind w:left="472" w:right="126" w:hanging="359"/>
              <w:spacing w:before="62" w:line="247" w:lineRule="auto"/>
              <w:rPr>
                <w:rFonts w:ascii="FangSong" w:hAnsi="FangSong" w:eastAsia="FangSong" w:cs="FangSong"/>
                <w:sz w:val="21"/>
                <w:szCs w:val="21"/>
              </w:rPr>
            </w:pPr>
            <w:r>
              <w:rPr>
                <w:rFonts w:ascii="FangSong" w:hAnsi="FangSong" w:eastAsia="FangSong" w:cs="FangSong"/>
                <w:sz w:val="21"/>
                <w:szCs w:val="21"/>
                <w:spacing w:val="-2"/>
              </w:rPr>
              <w:t>2.</w:t>
            </w:r>
            <w:r>
              <w:rPr>
                <w:rFonts w:ascii="FangSong" w:hAnsi="FangSong" w:eastAsia="FangSong" w:cs="FangSong"/>
                <w:sz w:val="21"/>
                <w:szCs w:val="2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2"/>
              </w:rPr>
              <w:t>监考教师须严格按照《监考守则》和《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>教师监考工作流程》认真监考，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>在考试前必须宣读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2"/>
              </w:rPr>
              <w:t>《考场规则》(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>在本记录背面)。</w:t>
            </w:r>
          </w:p>
          <w:p>
            <w:pPr>
              <w:ind w:left="114"/>
              <w:spacing w:before="63" w:line="218" w:lineRule="auto"/>
              <w:rPr>
                <w:rFonts w:ascii="FangSong" w:hAnsi="FangSong" w:eastAsia="FangSong" w:cs="FangSong"/>
                <w:sz w:val="21"/>
                <w:szCs w:val="21"/>
              </w:rPr>
            </w:pP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>3.</w:t>
            </w: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>监考教师按考场记录要求认真正确填写相关信息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>。</w:t>
            </w:r>
          </w:p>
          <w:p>
            <w:pPr>
              <w:ind w:left="476" w:right="126" w:hanging="367"/>
              <w:spacing w:before="63" w:line="256" w:lineRule="auto"/>
              <w:rPr>
                <w:rFonts w:ascii="FangSong" w:hAnsi="FangSong" w:eastAsia="FangSong" w:cs="FangSong"/>
                <w:sz w:val="21"/>
                <w:szCs w:val="21"/>
              </w:rPr>
            </w:pPr>
            <w:r>
              <w:rPr>
                <w:rFonts w:ascii="FangSong" w:hAnsi="FangSong" w:eastAsia="FangSong" w:cs="FangSong"/>
                <w:sz w:val="21"/>
                <w:szCs w:val="21"/>
                <w:spacing w:val="-2"/>
              </w:rPr>
              <w:t>4.</w:t>
            </w:r>
            <w:r>
              <w:rPr>
                <w:rFonts w:ascii="FangSong" w:hAnsi="FangSong" w:eastAsia="FangSong" w:cs="FangSong"/>
                <w:sz w:val="21"/>
                <w:szCs w:val="2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2"/>
              </w:rPr>
              <w:t>监考教师对违规考生应按照学校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>关于违规认定和处理的相关文件，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>对违规行为填写在考生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6"/>
              </w:rPr>
              <w:t>违</w:t>
            </w:r>
            <w:r>
              <w:rPr>
                <w:rFonts w:ascii="FangSong" w:hAnsi="FangSong" w:eastAsia="FangSong" w:cs="FangSong"/>
                <w:sz w:val="21"/>
                <w:szCs w:val="21"/>
                <w:spacing w:val="-5"/>
              </w:rPr>
              <w:t>规</w:t>
            </w:r>
            <w:r>
              <w:rPr>
                <w:rFonts w:ascii="FangSong" w:hAnsi="FangSong" w:eastAsia="FangSong" w:cs="FangSong"/>
                <w:sz w:val="21"/>
                <w:szCs w:val="21"/>
                <w:spacing w:val="-3"/>
              </w:rPr>
              <w:t>情况记录框内，</w:t>
            </w:r>
            <w:r>
              <w:rPr>
                <w:rFonts w:ascii="FangSong" w:hAnsi="FangSong" w:eastAsia="FangSong" w:cs="FangSong"/>
                <w:sz w:val="21"/>
                <w:szCs w:val="21"/>
                <w:spacing w:val="-3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3"/>
              </w:rPr>
              <w:t>并要求违规考生本人签字，对不签字的由监考教师填写“拒签”。并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-1"/>
              </w:rPr>
              <w:t>把考场记录及时送教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>务处考务科。</w:t>
            </w:r>
          </w:p>
          <w:p>
            <w:pPr>
              <w:ind w:left="114"/>
              <w:spacing w:before="63" w:line="218" w:lineRule="auto"/>
              <w:rPr>
                <w:rFonts w:ascii="FangSong" w:hAnsi="FangSong" w:eastAsia="FangSong" w:cs="FangSong"/>
                <w:sz w:val="21"/>
                <w:szCs w:val="21"/>
              </w:rPr>
            </w:pP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>5.</w:t>
            </w: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FangSong" w:hAnsi="FangSong" w:eastAsia="FangSong" w:cs="FangSong"/>
                <w:sz w:val="21"/>
                <w:szCs w:val="21"/>
                <w:spacing w:val="1"/>
              </w:rPr>
              <w:t>任课教师须将试卷和考场记录一起交学院教学科</w:t>
            </w:r>
            <w:r>
              <w:rPr>
                <w:rFonts w:ascii="FangSong" w:hAnsi="FangSong" w:eastAsia="FangSong" w:cs="FangSong"/>
                <w:sz w:val="21"/>
                <w:szCs w:val="21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"/>
          <w:footerReference w:type="default" r:id="rId2"/>
          <w:pgSz w:w="11907" w:h="16839"/>
          <w:pgMar w:top="1327" w:right="1452" w:bottom="1362" w:left="943" w:header="877" w:footer="1201" w:gutter="0"/>
        </w:sectPr>
        <w:rPr/>
      </w:pPr>
    </w:p>
    <w:p>
      <w:pPr>
        <w:spacing w:line="383" w:lineRule="auto"/>
        <w:rPr>
          <w:rFonts w:ascii="Arial"/>
          <w:sz w:val="21"/>
        </w:rPr>
      </w:pPr>
      <w:r/>
    </w:p>
    <w:p>
      <w:pPr>
        <w:ind w:left="3745"/>
        <w:spacing w:before="100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9"/>
        </w:rPr>
        <w:t>考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7"/>
        </w:rPr>
        <w:t>场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7"/>
        </w:rPr>
        <w:t>规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7"/>
        </w:rPr>
        <w:t>则</w:t>
      </w:r>
    </w:p>
    <w:p>
      <w:pPr>
        <w:ind w:left="54" w:right="284" w:firstLine="845"/>
        <w:spacing w:before="218" w:line="36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5"/>
        </w:rPr>
        <w:t>1</w:t>
      </w:r>
      <w:r>
        <w:rPr>
          <w:rFonts w:ascii="FangSong" w:hAnsi="FangSong" w:eastAsia="FangSong" w:cs="FangSong"/>
          <w:sz w:val="28"/>
          <w:szCs w:val="28"/>
          <w:spacing w:val="-12"/>
        </w:rPr>
        <w:t>．考生应提前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2"/>
        </w:rPr>
        <w:t>10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2"/>
        </w:rPr>
        <w:t>分钟进入考场。迟到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2"/>
        </w:rPr>
        <w:t>15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2"/>
        </w:rPr>
        <w:t>分钟以上者，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2"/>
        </w:rPr>
        <w:t>除特殊情况外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8"/>
        </w:rPr>
        <w:t>不</w:t>
      </w:r>
      <w:r>
        <w:rPr>
          <w:rFonts w:ascii="FangSong" w:hAnsi="FangSong" w:eastAsia="FangSong" w:cs="FangSong"/>
          <w:sz w:val="28"/>
          <w:szCs w:val="28"/>
          <w:spacing w:val="-11"/>
        </w:rPr>
        <w:t>准</w:t>
      </w:r>
      <w:r>
        <w:rPr>
          <w:rFonts w:ascii="FangSong" w:hAnsi="FangSong" w:eastAsia="FangSong" w:cs="FangSong"/>
          <w:sz w:val="28"/>
          <w:szCs w:val="28"/>
          <w:spacing w:val="-9"/>
        </w:rPr>
        <w:t>参加考试，</w:t>
      </w:r>
      <w:r>
        <w:rPr>
          <w:rFonts w:ascii="FangSong" w:hAnsi="FangSong" w:eastAsia="FangSong" w:cs="FangSong"/>
          <w:sz w:val="28"/>
          <w:szCs w:val="28"/>
          <w:spacing w:val="-9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9"/>
        </w:rPr>
        <w:t>该门课程按缺考论。</w:t>
      </w:r>
    </w:p>
    <w:p>
      <w:pPr>
        <w:ind w:left="601"/>
        <w:spacing w:line="21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8"/>
        </w:rPr>
        <w:t>2．考生必</w:t>
      </w:r>
      <w:r>
        <w:rPr>
          <w:rFonts w:ascii="FangSong" w:hAnsi="FangSong" w:eastAsia="FangSong" w:cs="FangSong"/>
          <w:sz w:val="28"/>
          <w:szCs w:val="28"/>
          <w:spacing w:val="-4"/>
        </w:rPr>
        <w:t>须持身份证或学生证进入指定考场，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按监考教师的安排对号入</w:t>
      </w:r>
    </w:p>
    <w:p>
      <w:pPr>
        <w:ind w:left="49" w:right="150" w:firstLine="1"/>
        <w:spacing w:before="229" w:line="36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8"/>
        </w:rPr>
        <w:t>座，</w:t>
      </w:r>
      <w:r>
        <w:rPr>
          <w:rFonts w:ascii="FangSong" w:hAnsi="FangSong" w:eastAsia="FangSong" w:cs="FangSong"/>
          <w:sz w:val="28"/>
          <w:szCs w:val="28"/>
          <w:spacing w:val="-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8"/>
        </w:rPr>
        <w:t>检查</w:t>
      </w:r>
      <w:r>
        <w:rPr>
          <w:rFonts w:ascii="FangSong" w:hAnsi="FangSong" w:eastAsia="FangSong" w:cs="FangSong"/>
          <w:sz w:val="28"/>
          <w:szCs w:val="28"/>
          <w:spacing w:val="-6"/>
        </w:rPr>
        <w:t>课</w:t>
      </w:r>
      <w:r>
        <w:rPr>
          <w:rFonts w:ascii="FangSong" w:hAnsi="FangSong" w:eastAsia="FangSong" w:cs="FangSong"/>
          <w:sz w:val="28"/>
          <w:szCs w:val="28"/>
          <w:spacing w:val="-4"/>
        </w:rPr>
        <w:t>桌等地方是否有与考试内容有关的小抄,若有应立即向监考教师提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6"/>
        </w:rPr>
        <w:t>出</w:t>
      </w:r>
      <w:r>
        <w:rPr>
          <w:rFonts w:ascii="FangSong" w:hAnsi="FangSong" w:eastAsia="FangSong" w:cs="FangSong"/>
          <w:sz w:val="28"/>
          <w:szCs w:val="28"/>
          <w:spacing w:val="-15"/>
        </w:rPr>
        <w:t>调</w:t>
      </w:r>
      <w:r>
        <w:rPr>
          <w:rFonts w:ascii="FangSong" w:hAnsi="FangSong" w:eastAsia="FangSong" w:cs="FangSong"/>
          <w:sz w:val="28"/>
          <w:szCs w:val="28"/>
          <w:spacing w:val="-8"/>
        </w:rPr>
        <w:t>换位置或擦除干净，</w:t>
      </w:r>
      <w:r>
        <w:rPr>
          <w:rFonts w:ascii="FangSong" w:hAnsi="FangSong" w:eastAsia="FangSong" w:cs="FangSong"/>
          <w:sz w:val="28"/>
          <w:szCs w:val="28"/>
          <w:spacing w:val="-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8"/>
        </w:rPr>
        <w:t>并将学生有效证件放置课桌的右前方，</w:t>
      </w:r>
      <w:r>
        <w:rPr>
          <w:rFonts w:ascii="FangSong" w:hAnsi="FangSong" w:eastAsia="FangSong" w:cs="FangSong"/>
          <w:sz w:val="28"/>
          <w:szCs w:val="28"/>
          <w:spacing w:val="-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8"/>
        </w:rPr>
        <w:t>以便监考教师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6"/>
        </w:rPr>
        <w:t>检</w:t>
      </w:r>
      <w:r>
        <w:rPr>
          <w:rFonts w:ascii="FangSong" w:hAnsi="FangSong" w:eastAsia="FangSong" w:cs="FangSong"/>
          <w:sz w:val="28"/>
          <w:szCs w:val="28"/>
          <w:spacing w:val="-3"/>
        </w:rPr>
        <w:t>查验证。</w:t>
      </w:r>
    </w:p>
    <w:p>
      <w:pPr>
        <w:ind w:left="48" w:right="288" w:firstLine="555"/>
        <w:spacing w:before="1" w:line="36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"/>
        </w:rPr>
        <w:t>3．闭卷考试，考生除携带必须的</w:t>
      </w:r>
      <w:r>
        <w:rPr>
          <w:rFonts w:ascii="FangSong" w:hAnsi="FangSong" w:eastAsia="FangSong" w:cs="FangSong"/>
          <w:sz w:val="28"/>
          <w:szCs w:val="28"/>
        </w:rPr>
        <w:t>文具外，书籍、笔记、资料、作业本及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各类通讯工具等一律不准带入考场，私自带入</w:t>
      </w:r>
      <w:r>
        <w:rPr>
          <w:rFonts w:ascii="FangSong" w:hAnsi="FangSong" w:eastAsia="FangSong" w:cs="FangSong"/>
          <w:sz w:val="28"/>
          <w:szCs w:val="28"/>
        </w:rPr>
        <w:t>考场者按作弊处理。</w:t>
      </w:r>
    </w:p>
    <w:p>
      <w:pPr>
        <w:ind w:left="44" w:right="152" w:firstLine="552"/>
        <w:spacing w:before="1" w:line="36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9"/>
        </w:rPr>
        <w:t>4</w:t>
      </w:r>
      <w:r>
        <w:rPr>
          <w:rFonts w:ascii="FangSong" w:hAnsi="FangSong" w:eastAsia="FangSong" w:cs="FangSong"/>
          <w:sz w:val="28"/>
          <w:szCs w:val="28"/>
          <w:spacing w:val="-11"/>
        </w:rPr>
        <w:t>．考试开始后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30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分钟内、结束前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10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分钟内，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考生不准交卷。考生在考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试时不准交头接耳；不准互借文具和其他物</w:t>
      </w:r>
      <w:r>
        <w:rPr>
          <w:rFonts w:ascii="FangSong" w:hAnsi="FangSong" w:eastAsia="FangSong" w:cs="FangSong"/>
          <w:sz w:val="28"/>
          <w:szCs w:val="28"/>
        </w:rPr>
        <w:t>品；不准在试卷规定的地方以外书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8"/>
        </w:rPr>
        <w:t>写姓名、</w:t>
      </w:r>
      <w:r>
        <w:rPr>
          <w:rFonts w:ascii="FangSong" w:hAnsi="FangSong" w:eastAsia="FangSong" w:cs="FangSong"/>
          <w:sz w:val="28"/>
          <w:szCs w:val="28"/>
          <w:spacing w:val="-7"/>
        </w:rPr>
        <w:t>学</w:t>
      </w:r>
      <w:r>
        <w:rPr>
          <w:rFonts w:ascii="FangSong" w:hAnsi="FangSong" w:eastAsia="FangSong" w:cs="FangSong"/>
          <w:sz w:val="28"/>
          <w:szCs w:val="28"/>
          <w:spacing w:val="-4"/>
        </w:rPr>
        <w:t>号或作其他标记；不准做暗示动作或为他人作弊提供方便；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不准有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"/>
        </w:rPr>
        <w:t>偷看、夹带、</w:t>
      </w:r>
      <w:r>
        <w:rPr>
          <w:rFonts w:ascii="FangSong" w:hAnsi="FangSong" w:eastAsia="FangSong" w:cs="FangSong"/>
          <w:sz w:val="28"/>
          <w:szCs w:val="28"/>
          <w:spacing w:val="-1"/>
        </w:rPr>
        <w:t>传递等任何形式的作弊行为。违者，一律按作弊处理。</w:t>
      </w:r>
    </w:p>
    <w:p>
      <w:pPr>
        <w:ind w:left="44" w:right="149" w:firstLine="559"/>
        <w:spacing w:before="2" w:line="36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"/>
        </w:rPr>
        <w:t>5．考试期间考生须保持考场肃</w:t>
      </w:r>
      <w:r>
        <w:rPr>
          <w:rFonts w:ascii="FangSong" w:hAnsi="FangSong" w:eastAsia="FangSong" w:cs="FangSong"/>
          <w:sz w:val="28"/>
          <w:szCs w:val="28"/>
        </w:rPr>
        <w:t>静，不得随意起立、走动或喧哗。有问题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8"/>
        </w:rPr>
        <w:t>先举手，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经监考教师同意后再提问，但不得要求监考教师解释题意。提前答完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试卷的考生，将试卷及草稿纸放在自己的课桌</w:t>
      </w:r>
      <w:r>
        <w:rPr>
          <w:rFonts w:ascii="FangSong" w:hAnsi="FangSong" w:eastAsia="FangSong" w:cs="FangSong"/>
          <w:sz w:val="28"/>
          <w:szCs w:val="28"/>
        </w:rPr>
        <w:t>上，经监考教师同意后离开考</w:t>
      </w:r>
      <w:r>
        <w:rPr>
          <w:rFonts w:ascii="FangSong" w:hAnsi="FangSong" w:eastAsia="FangSong" w:cs="FangSong"/>
          <w:sz w:val="28"/>
          <w:szCs w:val="28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1"/>
        </w:rPr>
        <w:t>场。离开考场后，不得再进入考场，不</w:t>
      </w:r>
      <w:r>
        <w:rPr>
          <w:rFonts w:ascii="FangSong" w:hAnsi="FangSong" w:eastAsia="FangSong" w:cs="FangSong"/>
          <w:sz w:val="28"/>
          <w:szCs w:val="28"/>
        </w:rPr>
        <w:t>得在考场外逗留、议论或谈笑。违反上</w:t>
      </w:r>
    </w:p>
    <w:p>
      <w:pPr>
        <w:ind w:left="47"/>
        <w:spacing w:before="1" w:line="217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3"/>
        </w:rPr>
        <w:t>述</w:t>
      </w:r>
      <w:r>
        <w:rPr>
          <w:rFonts w:ascii="FangSong" w:hAnsi="FangSong" w:eastAsia="FangSong" w:cs="FangSong"/>
          <w:sz w:val="28"/>
          <w:szCs w:val="28"/>
          <w:spacing w:val="-2"/>
        </w:rPr>
        <w:t>规定劝告无效者，给予相应纪律处分。</w:t>
      </w:r>
    </w:p>
    <w:p>
      <w:pPr>
        <w:ind w:left="48" w:right="290" w:hanging="8"/>
        <w:spacing w:before="194" w:line="41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"/>
        </w:rPr>
        <w:t>6．考试终了信号发出时，考生</w:t>
      </w:r>
      <w:r>
        <w:rPr>
          <w:rFonts w:ascii="FangSong" w:hAnsi="FangSong" w:eastAsia="FangSong" w:cs="FangSong"/>
          <w:sz w:val="28"/>
          <w:szCs w:val="28"/>
        </w:rPr>
        <w:t>应立即停止答卷并坐在座位上，待监考教师收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6"/>
        </w:rPr>
        <w:t>齐、清点无误后，方可离开考场，</w:t>
      </w:r>
      <w:r>
        <w:rPr>
          <w:rFonts w:ascii="FangSong" w:hAnsi="FangSong" w:eastAsia="FangSong" w:cs="FangSong"/>
          <w:sz w:val="28"/>
          <w:szCs w:val="28"/>
          <w:spacing w:val="-6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6"/>
        </w:rPr>
        <w:t>严禁学生将试卷带离考场</w:t>
      </w:r>
      <w:r>
        <w:rPr>
          <w:rFonts w:ascii="FangSong" w:hAnsi="FangSong" w:eastAsia="FangSong" w:cs="FangSong"/>
          <w:sz w:val="28"/>
          <w:szCs w:val="28"/>
          <w:spacing w:val="-1"/>
        </w:rPr>
        <w:t>。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4242"/>
        <w:spacing w:before="91" w:line="21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4"/>
        </w:rPr>
        <w:t>《考场规则》</w:t>
      </w:r>
      <w:r>
        <w:rPr>
          <w:rFonts w:ascii="FangSong" w:hAnsi="FangSong" w:eastAsia="FangSong" w:cs="FangSong"/>
          <w:sz w:val="28"/>
          <w:szCs w:val="28"/>
          <w:spacing w:val="-1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4"/>
        </w:rPr>
        <w:t>宣读人签名</w:t>
      </w:r>
      <w:r>
        <w:rPr>
          <w:rFonts w:ascii="FangSong" w:hAnsi="FangSong" w:eastAsia="FangSong" w:cs="FangSong"/>
          <w:sz w:val="28"/>
          <w:szCs w:val="28"/>
          <w:spacing w:val="-13"/>
        </w:rPr>
        <w:t>：</w:t>
      </w:r>
    </w:p>
    <w:sectPr>
      <w:headerReference w:type="default" r:id="rId3"/>
      <w:footerReference w:type="default" r:id="rId4"/>
      <w:pgSz w:w="11907" w:h="16839"/>
      <w:pgMar w:top="1327" w:right="1104" w:bottom="1362" w:left="1104" w:header="877" w:footer="120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85"/>
      <w:spacing w:line="18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07"/>
      <w:spacing w:line="18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215" w:lineRule="auto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1" style="position:absolute;margin-left:88.584pt;margin-top:65.6401pt;mso-position-vertical-relative:page;mso-position-horizontal-relative:page;width:418.3pt;height:0.75pt;z-index:251658240;" o:allowincell="f" fillcolor="#000000" filled="true" stroked="false" coordsize="8365,15" coordorigin="0,0" path="m0,14l8365,14l8365,0l0,0l0,14xe"/>
      </w:pict>
    </w:r>
    <w:r>
      <w:rPr>
        <w:rFonts w:ascii="Times New Roman" w:hAnsi="Times New Roman" w:eastAsia="Times New Roman" w:cs="Times New Roman"/>
        <w:sz w:val="18"/>
        <w:szCs w:val="18"/>
        <w:spacing w:val="-2"/>
      </w:rPr>
      <w:t>[</w:t>
    </w:r>
    <w:r>
      <w:rPr>
        <w:rFonts w:ascii="SimSun" w:hAnsi="SimSun" w:eastAsia="SimSun" w:cs="SimSun"/>
        <w:sz w:val="18"/>
        <w:szCs w:val="18"/>
        <w:spacing w:val="-1"/>
      </w:rPr>
      <w:t>山东理工大学教务处制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]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3"/>
      <w:spacing w:line="215" w:lineRule="auto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" style="position:absolute;margin-left:55.2pt;margin-top:65.6401pt;mso-position-vertical-relative:page;mso-position-horizontal-relative:page;width:484.9pt;height:0.75pt;z-index:251659264;" o:allowincell="f" fillcolor="#000000" filled="true" stroked="false" coordsize="9697,15" coordorigin="0,0" path="m0,14l9697,14l9697,0l0,0l0,14xe"/>
      </w:pict>
    </w:r>
    <w:r>
      <w:rPr>
        <w:rFonts w:ascii="Times New Roman" w:hAnsi="Times New Roman" w:eastAsia="Times New Roman" w:cs="Times New Roman"/>
        <w:sz w:val="18"/>
        <w:szCs w:val="18"/>
        <w:spacing w:val="-2"/>
      </w:rPr>
      <w:t>[</w:t>
    </w:r>
    <w:r>
      <w:rPr>
        <w:rFonts w:ascii="SimSun" w:hAnsi="SimSun" w:eastAsia="SimSun" w:cs="SimSun"/>
        <w:sz w:val="18"/>
        <w:szCs w:val="18"/>
        <w:spacing w:val="-1"/>
      </w:rPr>
      <w:t>山东理工大学教务处制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]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2.xml"/><Relationship Id="rId3" Type="http://schemas.openxmlformats.org/officeDocument/2006/relationships/header" Target="header2.xml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2013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dcterms:created xsi:type="dcterms:W3CDTF">2017-05-31T14:30:00Z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2023-04-26T11:58:30</vt:filetime>
  </op:property>
</op:Properties>
</file>